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5F2882" w:rsidRDefault="001541D4" w:rsidP="003E6F57">
      <w:pPr>
        <w:spacing w:after="0" w:line="240" w:lineRule="auto"/>
        <w:ind w:right="4"/>
        <w:contextualSpacing/>
        <w:jc w:val="center"/>
        <w:rPr>
          <w:rFonts w:ascii="Cambria" w:eastAsia="Batang" w:hAnsi="Cambria"/>
          <w:b/>
          <w:color w:val="000000" w:themeColor="text1"/>
        </w:rPr>
      </w:pPr>
      <w:r w:rsidRPr="005F2882">
        <w:rPr>
          <w:rFonts w:ascii="Cambria" w:eastAsia="Batang" w:hAnsi="Cambria"/>
          <w:b/>
          <w:color w:val="000000" w:themeColor="text1"/>
        </w:rPr>
        <w:t>TECHNICAL INFORMATION SHEET</w:t>
      </w:r>
    </w:p>
    <w:p w14:paraId="315E1AEF" w14:textId="5B9739D6" w:rsidR="001541D4" w:rsidRPr="005F2882" w:rsidRDefault="006F75AC" w:rsidP="003E6F57">
      <w:pPr>
        <w:spacing w:after="0" w:line="240" w:lineRule="auto"/>
        <w:ind w:right="4"/>
        <w:contextualSpacing/>
        <w:jc w:val="center"/>
        <w:rPr>
          <w:rFonts w:ascii="Cambria" w:eastAsia="Batang" w:hAnsi="Cambria"/>
          <w:b/>
          <w:color w:val="000000" w:themeColor="text1"/>
        </w:rPr>
      </w:pPr>
      <w:r w:rsidRPr="005F2882">
        <w:rPr>
          <w:rFonts w:ascii="Cambria" w:eastAsia="Batang" w:hAnsi="Cambria"/>
          <w:b/>
          <w:color w:val="000000" w:themeColor="text1"/>
        </w:rPr>
        <w:t>PETITION</w:t>
      </w:r>
      <w:r w:rsidR="005F2882" w:rsidRPr="005F2882">
        <w:rPr>
          <w:rFonts w:ascii="Cambria" w:eastAsia="Batang" w:hAnsi="Cambria"/>
          <w:b/>
          <w:color w:val="000000" w:themeColor="text1"/>
        </w:rPr>
        <w:t xml:space="preserve"> 595-09 JORGE ALBERTO MONTES GALLEGO AND FAMILY</w:t>
      </w:r>
    </w:p>
    <w:p w14:paraId="023C007F" w14:textId="0D1E8AEB" w:rsidR="001541D4" w:rsidRPr="005F2882" w:rsidRDefault="001541D4" w:rsidP="003E6F57">
      <w:pPr>
        <w:spacing w:after="0" w:line="240" w:lineRule="auto"/>
        <w:ind w:right="4"/>
        <w:contextualSpacing/>
        <w:jc w:val="center"/>
        <w:rPr>
          <w:rFonts w:ascii="Cambria" w:eastAsia="Batang" w:hAnsi="Cambria"/>
          <w:b/>
          <w:color w:val="000000" w:themeColor="text1"/>
        </w:rPr>
      </w:pPr>
      <w:r w:rsidRPr="005F2882">
        <w:rPr>
          <w:rFonts w:ascii="Cambria" w:eastAsia="Batang" w:hAnsi="Cambria"/>
          <w:b/>
          <w:color w:val="000000" w:themeColor="text1"/>
        </w:rPr>
        <w:t>FRIENDLY SETTLEMENT REPORT No.</w:t>
      </w:r>
      <w:r w:rsidR="00D735C2" w:rsidRPr="005F2882">
        <w:rPr>
          <w:rFonts w:ascii="Cambria" w:eastAsia="Batang" w:hAnsi="Cambria"/>
          <w:b/>
          <w:color w:val="000000" w:themeColor="text1"/>
        </w:rPr>
        <w:t xml:space="preserve"> </w:t>
      </w:r>
      <w:hyperlink r:id="rId12" w:history="1">
        <w:r w:rsidR="005F2882" w:rsidRPr="005F2882">
          <w:rPr>
            <w:rStyle w:val="Hyperlink"/>
            <w:rFonts w:ascii="Cambria" w:eastAsia="Batang" w:hAnsi="Cambria"/>
            <w:b/>
          </w:rPr>
          <w:t>84/20</w:t>
        </w:r>
      </w:hyperlink>
    </w:p>
    <w:p w14:paraId="52EBA80E" w14:textId="77777777" w:rsidR="001541D4" w:rsidRPr="005F2882" w:rsidRDefault="001541D4" w:rsidP="003E6F57">
      <w:pPr>
        <w:spacing w:after="0" w:line="240" w:lineRule="auto"/>
        <w:ind w:right="4"/>
        <w:contextualSpacing/>
        <w:jc w:val="center"/>
        <w:rPr>
          <w:rFonts w:ascii="Cambria" w:eastAsia="Batang" w:hAnsi="Cambria"/>
          <w:b/>
          <w:color w:val="000000" w:themeColor="text1"/>
        </w:rPr>
      </w:pPr>
      <w:r w:rsidRPr="005F2882">
        <w:rPr>
          <w:rFonts w:ascii="Cambria" w:eastAsia="Batang" w:hAnsi="Cambria"/>
          <w:b/>
          <w:color w:val="000000" w:themeColor="text1"/>
        </w:rPr>
        <w:t>TOTAL COMPLIANCE</w:t>
      </w:r>
    </w:p>
    <w:p w14:paraId="359B0977" w14:textId="104C6620" w:rsidR="001541D4" w:rsidRPr="005F2882" w:rsidRDefault="001541D4" w:rsidP="003E6F57">
      <w:pPr>
        <w:spacing w:after="0" w:line="240" w:lineRule="auto"/>
        <w:ind w:right="4"/>
        <w:contextualSpacing/>
        <w:jc w:val="center"/>
        <w:rPr>
          <w:rFonts w:ascii="Cambria" w:eastAsia="Batang" w:hAnsi="Cambria"/>
          <w:b/>
          <w:color w:val="000000" w:themeColor="text1"/>
        </w:rPr>
      </w:pPr>
      <w:r w:rsidRPr="005F2882">
        <w:rPr>
          <w:rFonts w:ascii="Cambria" w:eastAsia="Batang" w:hAnsi="Cambria"/>
          <w:b/>
          <w:color w:val="000000" w:themeColor="text1"/>
        </w:rPr>
        <w:t>(</w:t>
      </w:r>
      <w:r w:rsidR="005F2882" w:rsidRPr="005F2882">
        <w:rPr>
          <w:rFonts w:ascii="Cambria" w:eastAsia="Batang" w:hAnsi="Cambria"/>
          <w:b/>
          <w:color w:val="000000" w:themeColor="text1"/>
        </w:rPr>
        <w:t>COLOMBIA</w:t>
      </w:r>
      <w:r w:rsidRPr="005F2882">
        <w:rPr>
          <w:rFonts w:ascii="Cambria" w:eastAsia="Batang" w:hAnsi="Cambria"/>
          <w:b/>
          <w:color w:val="000000" w:themeColor="text1"/>
        </w:rPr>
        <w:t>)</w:t>
      </w:r>
    </w:p>
    <w:p w14:paraId="17C6E5B0" w14:textId="77777777" w:rsidR="001541D4" w:rsidRPr="005F2882" w:rsidRDefault="001541D4" w:rsidP="001541D4">
      <w:pPr>
        <w:spacing w:after="0" w:line="240" w:lineRule="auto"/>
        <w:ind w:right="-270"/>
        <w:jc w:val="center"/>
        <w:rPr>
          <w:rFonts w:ascii="Cambria" w:eastAsia="Batang" w:hAnsi="Cambria"/>
          <w:b/>
          <w:color w:val="000000"/>
        </w:rPr>
      </w:pPr>
    </w:p>
    <w:p w14:paraId="4466410B" w14:textId="77777777" w:rsidR="001541D4" w:rsidRPr="005F2882" w:rsidRDefault="001541D4" w:rsidP="00637AFB">
      <w:pPr>
        <w:numPr>
          <w:ilvl w:val="0"/>
          <w:numId w:val="37"/>
        </w:numPr>
        <w:spacing w:after="0" w:line="240" w:lineRule="auto"/>
        <w:ind w:left="0" w:firstLine="709"/>
        <w:rPr>
          <w:rFonts w:ascii="Cambria" w:eastAsia="Batang" w:hAnsi="Cambria" w:cs="Calibri Light"/>
          <w:b/>
          <w:color w:val="000000"/>
        </w:rPr>
      </w:pPr>
      <w:r w:rsidRPr="005F2882">
        <w:rPr>
          <w:rFonts w:ascii="Cambria" w:eastAsia="Batang" w:hAnsi="Cambria" w:cs="Calibri Light"/>
          <w:b/>
          <w:color w:val="000000"/>
        </w:rPr>
        <w:t>SUMMARY OF THE CASE</w:t>
      </w:r>
    </w:p>
    <w:p w14:paraId="21DA0E00" w14:textId="77777777" w:rsidR="001541D4" w:rsidRPr="005F288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3F74F2" w14:paraId="58669F97" w14:textId="77777777" w:rsidTr="003E6F57">
        <w:trPr>
          <w:trHeight w:val="5967"/>
          <w:jc w:val="center"/>
        </w:trPr>
        <w:tc>
          <w:tcPr>
            <w:tcW w:w="9350" w:type="dxa"/>
            <w:shd w:val="clear" w:color="auto" w:fill="F2F2F2"/>
          </w:tcPr>
          <w:p w14:paraId="4557E905" w14:textId="1FD6F0E3" w:rsidR="001541D4" w:rsidRPr="00172DE0" w:rsidRDefault="001541D4" w:rsidP="00F024F0">
            <w:pPr>
              <w:tabs>
                <w:tab w:val="left" w:pos="9270"/>
              </w:tabs>
              <w:spacing w:after="0" w:line="240" w:lineRule="auto"/>
              <w:jc w:val="both"/>
              <w:rPr>
                <w:rFonts w:ascii="Cambria" w:eastAsia="Batang" w:hAnsi="Cambria"/>
                <w:bCs/>
                <w:color w:val="000000"/>
                <w:sz w:val="20"/>
                <w:szCs w:val="20"/>
              </w:rPr>
            </w:pPr>
            <w:r w:rsidRPr="00172DE0">
              <w:rPr>
                <w:rFonts w:ascii="Cambria" w:eastAsia="Batang" w:hAnsi="Cambria"/>
                <w:b/>
                <w:color w:val="000000"/>
                <w:sz w:val="20"/>
                <w:szCs w:val="20"/>
              </w:rPr>
              <w:t xml:space="preserve">Victim (s): </w:t>
            </w:r>
            <w:r w:rsidR="005F2882" w:rsidRPr="00172DE0">
              <w:rPr>
                <w:rFonts w:ascii="Cambria" w:eastAsia="Batang" w:hAnsi="Cambria"/>
                <w:bCs/>
                <w:color w:val="000000"/>
                <w:sz w:val="20"/>
                <w:szCs w:val="20"/>
              </w:rPr>
              <w:t>Jorge Alberto Montes Gallego and Family</w:t>
            </w:r>
          </w:p>
          <w:p w14:paraId="5893488B" w14:textId="0BC2A1B4" w:rsidR="001541D4" w:rsidRPr="00172DE0" w:rsidRDefault="001541D4" w:rsidP="00F024F0">
            <w:pPr>
              <w:tabs>
                <w:tab w:val="left" w:pos="9270"/>
              </w:tabs>
              <w:spacing w:after="0" w:line="240" w:lineRule="auto"/>
              <w:jc w:val="both"/>
              <w:rPr>
                <w:rFonts w:ascii="Cambria" w:eastAsia="Batang" w:hAnsi="Cambria"/>
                <w:bCs/>
                <w:color w:val="000000"/>
                <w:sz w:val="20"/>
                <w:szCs w:val="20"/>
              </w:rPr>
            </w:pPr>
            <w:r w:rsidRPr="00172DE0">
              <w:rPr>
                <w:rFonts w:ascii="Cambria" w:eastAsia="Batang" w:hAnsi="Cambria"/>
                <w:b/>
                <w:color w:val="000000"/>
                <w:sz w:val="20"/>
                <w:szCs w:val="20"/>
              </w:rPr>
              <w:t xml:space="preserve">Petitioner (s): </w:t>
            </w:r>
            <w:r w:rsidR="005F2882" w:rsidRPr="00172DE0">
              <w:rPr>
                <w:rFonts w:ascii="Cambria" w:eastAsia="Batang" w:hAnsi="Cambria"/>
                <w:bCs/>
                <w:color w:val="000000"/>
                <w:sz w:val="20"/>
                <w:szCs w:val="20"/>
              </w:rPr>
              <w:t>Miguel Piñeros Rey</w:t>
            </w:r>
          </w:p>
          <w:p w14:paraId="2552F3A2" w14:textId="3D56CA51" w:rsidR="001541D4" w:rsidRPr="00172DE0" w:rsidRDefault="001541D4" w:rsidP="00F024F0">
            <w:pPr>
              <w:tabs>
                <w:tab w:val="left" w:pos="9270"/>
              </w:tabs>
              <w:spacing w:after="0" w:line="240" w:lineRule="auto"/>
              <w:jc w:val="both"/>
              <w:rPr>
                <w:rFonts w:ascii="Cambria" w:eastAsia="Batang" w:hAnsi="Cambria"/>
                <w:b/>
                <w:color w:val="000000"/>
                <w:sz w:val="20"/>
                <w:szCs w:val="20"/>
              </w:rPr>
            </w:pPr>
            <w:r w:rsidRPr="00172DE0">
              <w:rPr>
                <w:rFonts w:ascii="Cambria" w:eastAsia="Batang" w:hAnsi="Cambria"/>
                <w:b/>
                <w:color w:val="000000"/>
                <w:sz w:val="20"/>
                <w:szCs w:val="20"/>
              </w:rPr>
              <w:t>State:</w:t>
            </w:r>
            <w:r w:rsidRPr="00172DE0">
              <w:rPr>
                <w:rFonts w:ascii="Cambria" w:eastAsia="Batang" w:hAnsi="Cambria"/>
                <w:bCs/>
                <w:color w:val="000000"/>
                <w:sz w:val="20"/>
                <w:szCs w:val="20"/>
              </w:rPr>
              <w:t xml:space="preserve"> </w:t>
            </w:r>
            <w:r w:rsidR="005F2882" w:rsidRPr="00172DE0">
              <w:rPr>
                <w:rFonts w:ascii="Cambria" w:eastAsia="Batang" w:hAnsi="Cambria"/>
                <w:bCs/>
                <w:color w:val="000000"/>
                <w:sz w:val="20"/>
                <w:szCs w:val="20"/>
              </w:rPr>
              <w:t>Colombia</w:t>
            </w:r>
          </w:p>
          <w:p w14:paraId="7A596058" w14:textId="1D62A3D0" w:rsidR="001541D4" w:rsidRPr="00172DE0" w:rsidRDefault="001541D4" w:rsidP="00F024F0">
            <w:pPr>
              <w:tabs>
                <w:tab w:val="left" w:pos="9270"/>
              </w:tabs>
              <w:spacing w:after="0" w:line="240" w:lineRule="auto"/>
              <w:jc w:val="both"/>
              <w:rPr>
                <w:rFonts w:ascii="Cambria" w:eastAsia="Batang" w:hAnsi="Cambria"/>
                <w:color w:val="000000"/>
                <w:sz w:val="20"/>
                <w:szCs w:val="20"/>
              </w:rPr>
            </w:pPr>
            <w:r w:rsidRPr="00172DE0">
              <w:rPr>
                <w:rFonts w:ascii="Cambria" w:eastAsia="Batang" w:hAnsi="Cambria"/>
                <w:b/>
                <w:bCs/>
                <w:color w:val="000000"/>
                <w:sz w:val="20"/>
                <w:szCs w:val="20"/>
              </w:rPr>
              <w:t xml:space="preserve">Start date of negotiations: </w:t>
            </w:r>
            <w:r w:rsidR="005F2882" w:rsidRPr="00172DE0">
              <w:rPr>
                <w:rFonts w:ascii="Cambria" w:eastAsia="Batang" w:hAnsi="Cambria"/>
                <w:color w:val="000000"/>
                <w:sz w:val="20"/>
                <w:szCs w:val="20"/>
              </w:rPr>
              <w:t>August 26, 2019</w:t>
            </w:r>
          </w:p>
          <w:p w14:paraId="51D20FA5" w14:textId="3829C0C8" w:rsidR="001541D4" w:rsidRPr="00172DE0" w:rsidRDefault="001541D4" w:rsidP="00F024F0">
            <w:pPr>
              <w:tabs>
                <w:tab w:val="left" w:pos="9270"/>
              </w:tabs>
              <w:spacing w:after="0" w:line="240" w:lineRule="auto"/>
              <w:jc w:val="both"/>
              <w:rPr>
                <w:rFonts w:ascii="Cambria" w:eastAsia="Batang" w:hAnsi="Cambria"/>
                <w:color w:val="000000"/>
                <w:sz w:val="20"/>
                <w:szCs w:val="20"/>
              </w:rPr>
            </w:pPr>
            <w:r w:rsidRPr="00172DE0">
              <w:rPr>
                <w:rFonts w:ascii="Cambria" w:eastAsia="Batang" w:hAnsi="Cambria"/>
                <w:b/>
                <w:bCs/>
                <w:color w:val="000000"/>
                <w:sz w:val="20"/>
                <w:szCs w:val="20"/>
              </w:rPr>
              <w:t xml:space="preserve">Date of signing of FSA: </w:t>
            </w:r>
            <w:r w:rsidR="005F2882" w:rsidRPr="00172DE0">
              <w:rPr>
                <w:rFonts w:ascii="Cambria" w:eastAsia="Batang" w:hAnsi="Cambria"/>
                <w:color w:val="000000"/>
                <w:sz w:val="20"/>
                <w:szCs w:val="20"/>
              </w:rPr>
              <w:t>October 18, 2019</w:t>
            </w:r>
          </w:p>
          <w:p w14:paraId="02AF1A91" w14:textId="0407905C" w:rsidR="001541D4" w:rsidRPr="00172DE0" w:rsidRDefault="001541D4" w:rsidP="00F024F0">
            <w:pPr>
              <w:tabs>
                <w:tab w:val="left" w:pos="9270"/>
              </w:tabs>
              <w:spacing w:after="0" w:line="240" w:lineRule="auto"/>
              <w:jc w:val="both"/>
              <w:rPr>
                <w:rFonts w:ascii="Cambria" w:eastAsia="Batang" w:hAnsi="Cambria"/>
                <w:b/>
                <w:color w:val="000000"/>
                <w:sz w:val="20"/>
                <w:szCs w:val="20"/>
              </w:rPr>
            </w:pPr>
            <w:r w:rsidRPr="00172DE0">
              <w:rPr>
                <w:rFonts w:ascii="Cambria" w:eastAsia="Batang" w:hAnsi="Cambria"/>
                <w:b/>
                <w:color w:val="000000"/>
                <w:sz w:val="20"/>
                <w:szCs w:val="20"/>
              </w:rPr>
              <w:t>Report on Friendly Settlement Agreement Nº:</w:t>
            </w:r>
            <w:r w:rsidRPr="00172DE0">
              <w:rPr>
                <w:rFonts w:ascii="Cambria" w:eastAsia="Batang" w:hAnsi="Cambria"/>
                <w:b/>
                <w:color w:val="000000"/>
                <w:sz w:val="20"/>
                <w:szCs w:val="20"/>
                <w:u w:val="single"/>
              </w:rPr>
              <w:t xml:space="preserve"> </w:t>
            </w:r>
            <w:hyperlink r:id="rId13" w:history="1">
              <w:r w:rsidR="005F2882" w:rsidRPr="00172DE0">
                <w:rPr>
                  <w:rStyle w:val="Hyperlink"/>
                  <w:rFonts w:ascii="Cambria" w:eastAsia="Batang" w:hAnsi="Cambria"/>
                  <w:bCs/>
                  <w:sz w:val="20"/>
                  <w:szCs w:val="20"/>
                </w:rPr>
                <w:t>84/20</w:t>
              </w:r>
            </w:hyperlink>
            <w:r w:rsidR="005F2882" w:rsidRPr="00172DE0">
              <w:rPr>
                <w:rFonts w:ascii="Cambria" w:eastAsia="Batang" w:hAnsi="Cambria"/>
                <w:bCs/>
                <w:color w:val="000000"/>
                <w:sz w:val="20"/>
                <w:szCs w:val="20"/>
              </w:rPr>
              <w:t>, published on June 1, 2020</w:t>
            </w:r>
          </w:p>
          <w:p w14:paraId="129AD630" w14:textId="0BFE4C80" w:rsidR="001541D4" w:rsidRPr="00172DE0" w:rsidRDefault="001541D4" w:rsidP="00F024F0">
            <w:pPr>
              <w:tabs>
                <w:tab w:val="left" w:pos="9270"/>
              </w:tabs>
              <w:spacing w:after="0" w:line="240" w:lineRule="auto"/>
              <w:jc w:val="both"/>
              <w:rPr>
                <w:rFonts w:ascii="Cambria" w:eastAsia="Batang" w:hAnsi="Cambria"/>
                <w:b/>
                <w:bCs/>
                <w:color w:val="000000"/>
                <w:sz w:val="20"/>
                <w:szCs w:val="20"/>
              </w:rPr>
            </w:pPr>
            <w:r w:rsidRPr="00172DE0">
              <w:rPr>
                <w:rFonts w:ascii="Cambria" w:eastAsia="Batang" w:hAnsi="Cambria"/>
                <w:b/>
                <w:bCs/>
                <w:color w:val="000000"/>
                <w:sz w:val="20"/>
                <w:szCs w:val="20"/>
              </w:rPr>
              <w:t xml:space="preserve">Estimated length of negotiation phase: </w:t>
            </w:r>
            <w:r w:rsidR="005F2882" w:rsidRPr="00172DE0">
              <w:rPr>
                <w:rFonts w:ascii="Cambria" w:eastAsia="Batang" w:hAnsi="Cambria"/>
                <w:color w:val="000000"/>
                <w:sz w:val="20"/>
                <w:szCs w:val="20"/>
              </w:rPr>
              <w:t>10 months</w:t>
            </w:r>
          </w:p>
          <w:p w14:paraId="5917BB0B" w14:textId="0BD929AE" w:rsidR="001541D4" w:rsidRPr="00172DE0" w:rsidRDefault="001541D4" w:rsidP="00F024F0">
            <w:pPr>
              <w:tabs>
                <w:tab w:val="left" w:pos="9270"/>
              </w:tabs>
              <w:spacing w:after="0" w:line="240" w:lineRule="auto"/>
              <w:jc w:val="both"/>
              <w:rPr>
                <w:rFonts w:ascii="Cambria" w:eastAsia="Batang" w:hAnsi="Cambria"/>
                <w:b/>
                <w:color w:val="000000"/>
                <w:sz w:val="20"/>
                <w:szCs w:val="20"/>
              </w:rPr>
            </w:pPr>
            <w:r w:rsidRPr="00172DE0">
              <w:rPr>
                <w:rFonts w:ascii="Cambria" w:eastAsia="Batang" w:hAnsi="Cambria"/>
                <w:b/>
                <w:color w:val="000000"/>
                <w:sz w:val="20"/>
                <w:szCs w:val="20"/>
              </w:rPr>
              <w:t>Associated Rapporteurship:</w:t>
            </w:r>
            <w:r w:rsidRPr="00172DE0">
              <w:rPr>
                <w:rFonts w:ascii="Cambria" w:eastAsia="Batang" w:hAnsi="Cambria"/>
                <w:b/>
                <w:bCs/>
                <w:color w:val="000000"/>
                <w:sz w:val="20"/>
                <w:szCs w:val="20"/>
              </w:rPr>
              <w:t xml:space="preserve"> </w:t>
            </w:r>
            <w:r w:rsidR="005F2882" w:rsidRPr="00172DE0">
              <w:rPr>
                <w:rFonts w:ascii="Cambria" w:eastAsia="Batang" w:hAnsi="Cambria"/>
                <w:color w:val="000000"/>
                <w:sz w:val="20"/>
                <w:szCs w:val="20"/>
              </w:rPr>
              <w:t>Rights of Persons Deprived of Liberty</w:t>
            </w:r>
          </w:p>
          <w:p w14:paraId="6EB74063" w14:textId="77777777" w:rsidR="005F2882" w:rsidRPr="00172DE0" w:rsidRDefault="001541D4" w:rsidP="005F2882">
            <w:pPr>
              <w:tabs>
                <w:tab w:val="left" w:pos="9270"/>
              </w:tabs>
              <w:spacing w:after="0" w:line="240" w:lineRule="auto"/>
              <w:jc w:val="both"/>
              <w:rPr>
                <w:rFonts w:ascii="Cambria" w:eastAsia="Batang" w:hAnsi="Cambria"/>
                <w:bCs/>
                <w:color w:val="000000"/>
                <w:sz w:val="20"/>
                <w:szCs w:val="20"/>
              </w:rPr>
            </w:pPr>
            <w:r w:rsidRPr="00172DE0">
              <w:rPr>
                <w:rFonts w:ascii="Cambria" w:eastAsia="Batang" w:hAnsi="Cambria"/>
                <w:b/>
                <w:color w:val="000000"/>
                <w:sz w:val="20"/>
                <w:szCs w:val="20"/>
              </w:rPr>
              <w:t xml:space="preserve">Topics: </w:t>
            </w:r>
            <w:r w:rsidR="005F2882" w:rsidRPr="00172DE0">
              <w:rPr>
                <w:rFonts w:ascii="Cambria" w:eastAsia="Batang" w:hAnsi="Cambria"/>
                <w:bCs/>
                <w:color w:val="000000"/>
                <w:sz w:val="20"/>
                <w:szCs w:val="20"/>
              </w:rPr>
              <w:t>Right to life/ Right to compensation/ Internal displacement/ Judicial guarantees/ Investigation and due diligence/ Judicial Protection/ Terrorism and Human Rights</w:t>
            </w:r>
          </w:p>
          <w:p w14:paraId="1343E1B2" w14:textId="77777777" w:rsidR="001541D4" w:rsidRPr="00172DE0" w:rsidRDefault="001541D4" w:rsidP="00F024F0">
            <w:pPr>
              <w:tabs>
                <w:tab w:val="left" w:pos="9270"/>
              </w:tabs>
              <w:spacing w:after="0" w:line="240" w:lineRule="auto"/>
              <w:jc w:val="both"/>
              <w:rPr>
                <w:rFonts w:ascii="Cambria" w:eastAsia="Batang" w:hAnsi="Cambria"/>
                <w:b/>
                <w:bCs/>
                <w:color w:val="000000"/>
                <w:sz w:val="20"/>
                <w:szCs w:val="20"/>
              </w:rPr>
            </w:pPr>
          </w:p>
          <w:p w14:paraId="2F7885BF" w14:textId="28D607CC" w:rsidR="005F2882" w:rsidRPr="00172DE0" w:rsidRDefault="001541D4" w:rsidP="005F2882">
            <w:pPr>
              <w:tabs>
                <w:tab w:val="left" w:pos="9270"/>
              </w:tabs>
              <w:spacing w:after="0" w:line="240" w:lineRule="auto"/>
              <w:jc w:val="both"/>
              <w:rPr>
                <w:rFonts w:ascii="Cambria" w:eastAsia="Batang" w:hAnsi="Cambria"/>
                <w:bCs/>
                <w:color w:val="080808"/>
                <w:sz w:val="20"/>
                <w:szCs w:val="20"/>
              </w:rPr>
            </w:pPr>
            <w:r w:rsidRPr="00172DE0">
              <w:rPr>
                <w:rFonts w:ascii="Cambria" w:eastAsia="Batang" w:hAnsi="Cambria"/>
                <w:b/>
                <w:color w:val="000000"/>
                <w:sz w:val="20"/>
                <w:szCs w:val="20"/>
              </w:rPr>
              <w:t>Facts:</w:t>
            </w:r>
            <w:r w:rsidR="005F2882" w:rsidRPr="003F74F2">
              <w:rPr>
                <w:rFonts w:ascii="Cambria" w:eastAsiaTheme="minorHAnsi" w:hAnsi="Cambria" w:cstheme="minorBidi"/>
                <w:color w:val="000000"/>
                <w:sz w:val="20"/>
                <w:szCs w:val="20"/>
              </w:rPr>
              <w:t xml:space="preserve"> </w:t>
            </w:r>
            <w:r w:rsidR="005F2882" w:rsidRPr="00172DE0">
              <w:rPr>
                <w:rFonts w:ascii="Cambria" w:eastAsia="Batang" w:hAnsi="Cambria"/>
                <w:bCs/>
                <w:color w:val="000000"/>
                <w:sz w:val="20"/>
                <w:szCs w:val="20"/>
              </w:rPr>
              <w:t>The petitioning party alleged that, on July 19, 1994, illegal armed groups had taken control of the stretch of road from Villavicencio to San Martín, known as the "Curva del Cheque" for approximately six hours without security forces personnel appearing at the scene. As a result of that scenario, Mr. Montes Gallego had been shot several times and, since he could not immediately be transferred to a hospital, he died before reaching one from severe anemia and hypovolemic shock from heavy bleeding. In addition, the petitioning party alleged that as a consequence of what had happened and its psychological, social, and economic impact, Mr. Montes Gallegos' next of kin had found themselves forced to leave the area where they lived out of fear for their lives. Subsequently, proceedings under administrative law were initiated on September 11, 1995 for direct reparation, with a view to obtaining compensation for the harm done to the victim's next of kin. The Administrative Tribunal in Meta rejected those claims, in a ruling that was then appealed before the Council of State. The Administrative Law Chamber of Section Three of the Council of State then fully confirmed the ruling handed down by the Administrative Tribunal in Meta. Regarding the criminal law proceedings, the petitioning party reported that the Office of the Attorney General (FGN) ordered the Public Prosecutor's Office in San Martin (Meta) to conduct the preliminary investigation but that subsequently that proceeding was shifted to Bogotá before the investigation had concluded and before anyone had been accused. Nothing definite is known about the final ruling in these proceedings.</w:t>
            </w:r>
          </w:p>
          <w:p w14:paraId="6C45488B" w14:textId="77777777" w:rsidR="001541D4" w:rsidRPr="00172DE0" w:rsidRDefault="001541D4" w:rsidP="00F024F0">
            <w:pPr>
              <w:tabs>
                <w:tab w:val="left" w:pos="9270"/>
              </w:tabs>
              <w:spacing w:after="0" w:line="240" w:lineRule="auto"/>
              <w:jc w:val="both"/>
              <w:rPr>
                <w:rFonts w:ascii="Cambria" w:eastAsia="Batang" w:hAnsi="Cambria"/>
                <w:b/>
                <w:color w:val="000000"/>
                <w:sz w:val="20"/>
                <w:szCs w:val="20"/>
              </w:rPr>
            </w:pPr>
          </w:p>
          <w:p w14:paraId="38FCE193" w14:textId="61B57020" w:rsidR="006F75AC" w:rsidRPr="00172DE0" w:rsidRDefault="001541D4" w:rsidP="00F024F0">
            <w:pPr>
              <w:tabs>
                <w:tab w:val="left" w:pos="9270"/>
              </w:tabs>
              <w:spacing w:after="0" w:line="240" w:lineRule="auto"/>
              <w:jc w:val="both"/>
              <w:rPr>
                <w:rFonts w:ascii="Cambria" w:eastAsia="Batang" w:hAnsi="Cambria"/>
                <w:bCs/>
                <w:color w:val="080808"/>
                <w:sz w:val="20"/>
                <w:szCs w:val="20"/>
              </w:rPr>
            </w:pPr>
            <w:r w:rsidRPr="00172DE0">
              <w:rPr>
                <w:rFonts w:ascii="Cambria" w:eastAsia="Batang" w:hAnsi="Cambria"/>
                <w:b/>
                <w:color w:val="000000"/>
                <w:sz w:val="20"/>
                <w:szCs w:val="20"/>
              </w:rPr>
              <w:t>Rights alleged:</w:t>
            </w:r>
            <w:r w:rsidR="005F2882" w:rsidRPr="003F74F2">
              <w:rPr>
                <w:rFonts w:ascii="Cambria" w:eastAsiaTheme="minorHAnsi" w:hAnsi="Cambria" w:cstheme="minorBidi"/>
                <w:sz w:val="20"/>
                <w:szCs w:val="20"/>
              </w:rPr>
              <w:t xml:space="preserve"> </w:t>
            </w:r>
            <w:r w:rsidR="005F2882" w:rsidRPr="00172DE0">
              <w:rPr>
                <w:rFonts w:ascii="Cambria" w:eastAsia="Batang" w:hAnsi="Cambria"/>
                <w:bCs/>
                <w:color w:val="000000"/>
                <w:sz w:val="20"/>
                <w:szCs w:val="20"/>
              </w:rPr>
              <w:t>The petitioners argued that the Republic of Colombia violated Articles 1.1 (obligation to respect and guarantee rights), 4 (right to life), 5 (right to personal integrity), 8 (judicial guarantees), 10 (right to compensation), 17 (protection of the family), 22 (freedom of movement and residence), 24 (equality before the law), and 25 (judicial protection) of the American Convention on Human Rights (hereinafter "Convention," or "American Convention"); as well as Articles I (Right to life, liberty and personal security), II (Right to equality before law), VIII (right to residence and movement), XI (Right to the preservation of health and to well-being), and XVIII (right to a fair trial) of the American Declaration of the Rights and Duties of Man.</w:t>
            </w:r>
            <w:r w:rsidR="005F2882" w:rsidRPr="00172DE0">
              <w:rPr>
                <w:rFonts w:ascii="Cambria" w:eastAsia="Batang" w:hAnsi="Cambria"/>
                <w:b/>
                <w:color w:val="000000"/>
                <w:sz w:val="20"/>
                <w:szCs w:val="20"/>
              </w:rPr>
              <w:t xml:space="preserve"> </w:t>
            </w:r>
          </w:p>
        </w:tc>
      </w:tr>
    </w:tbl>
    <w:p w14:paraId="0B972B13" w14:textId="77777777" w:rsidR="005D77F5" w:rsidRPr="005D77F5" w:rsidRDefault="005D77F5" w:rsidP="006B3219">
      <w:pPr>
        <w:spacing w:after="0" w:line="240" w:lineRule="auto"/>
        <w:ind w:left="720"/>
        <w:contextualSpacing/>
        <w:jc w:val="both"/>
        <w:rPr>
          <w:rFonts w:ascii="Cambria" w:eastAsia="Batang" w:hAnsi="Cambria" w:cs="Calibri Light"/>
          <w:b/>
          <w:color w:val="000000"/>
        </w:rPr>
      </w:pPr>
    </w:p>
    <w:p w14:paraId="08700397" w14:textId="77777777" w:rsidR="001541D4" w:rsidRPr="005D77F5"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5D77F5">
        <w:rPr>
          <w:rFonts w:ascii="Cambria" w:eastAsia="Batang" w:hAnsi="Cambria"/>
          <w:b/>
          <w:color w:val="000000"/>
        </w:rPr>
        <w:t>PROCEDURAL ACTIVITY</w:t>
      </w:r>
    </w:p>
    <w:p w14:paraId="4C466689" w14:textId="77777777" w:rsidR="001541D4" w:rsidRPr="005D77F5" w:rsidRDefault="001541D4" w:rsidP="001541D4">
      <w:pPr>
        <w:spacing w:after="0" w:line="240" w:lineRule="auto"/>
        <w:ind w:firstLine="720"/>
        <w:contextualSpacing/>
        <w:jc w:val="both"/>
        <w:rPr>
          <w:rFonts w:ascii="Cambria" w:eastAsia="Batang" w:hAnsi="Cambria" w:cs="Calibri Light"/>
          <w:b/>
          <w:color w:val="000000"/>
        </w:rPr>
      </w:pPr>
    </w:p>
    <w:p w14:paraId="1E03B550" w14:textId="4E3B87C1" w:rsidR="004D71CB" w:rsidRDefault="004D71CB" w:rsidP="005F2882">
      <w:pPr>
        <w:pStyle w:val="ListParagraph"/>
        <w:numPr>
          <w:ilvl w:val="0"/>
          <w:numId w:val="4"/>
        </w:numPr>
        <w:spacing w:after="0" w:line="240" w:lineRule="auto"/>
        <w:ind w:left="0" w:firstLine="720"/>
        <w:jc w:val="both"/>
        <w:rPr>
          <w:rFonts w:ascii="Cambria" w:eastAsia="Batang" w:hAnsi="Cambria"/>
          <w:bCs/>
          <w:color w:val="080808"/>
        </w:rPr>
      </w:pPr>
      <w:r>
        <w:rPr>
          <w:rFonts w:ascii="Cambria" w:eastAsia="Batang" w:hAnsi="Cambria"/>
          <w:bCs/>
          <w:color w:val="080808"/>
        </w:rPr>
        <w:t xml:space="preserve">On October </w:t>
      </w:r>
      <w:r w:rsidR="0065135B">
        <w:rPr>
          <w:rFonts w:ascii="Cambria" w:eastAsia="Batang" w:hAnsi="Cambria"/>
          <w:bCs/>
          <w:color w:val="080808"/>
        </w:rPr>
        <w:t>18</w:t>
      </w:r>
      <w:r w:rsidRPr="00C50106">
        <w:rPr>
          <w:rFonts w:ascii="Cambria" w:eastAsia="Batang" w:hAnsi="Cambria"/>
          <w:bCs/>
          <w:color w:val="080808"/>
          <w:vertAlign w:val="superscript"/>
        </w:rPr>
        <w:t>th</w:t>
      </w:r>
      <w:r>
        <w:rPr>
          <w:rFonts w:ascii="Cambria" w:eastAsia="Batang" w:hAnsi="Cambria"/>
          <w:bCs/>
          <w:color w:val="080808"/>
        </w:rPr>
        <w:t xml:space="preserve">, 2019, the parties signed a friendly settlement </w:t>
      </w:r>
      <w:r w:rsidR="00C92669">
        <w:rPr>
          <w:rFonts w:ascii="Cambria" w:eastAsia="Batang" w:hAnsi="Cambria"/>
          <w:bCs/>
          <w:color w:val="080808"/>
        </w:rPr>
        <w:t>agreement.</w:t>
      </w:r>
    </w:p>
    <w:p w14:paraId="514691F7" w14:textId="77777777" w:rsidR="00C92669" w:rsidRDefault="00C92669" w:rsidP="00172DE0">
      <w:pPr>
        <w:pStyle w:val="ListParagraph"/>
        <w:spacing w:after="0" w:line="240" w:lineRule="auto"/>
        <w:jc w:val="both"/>
        <w:rPr>
          <w:rFonts w:ascii="Cambria" w:eastAsia="Batang" w:hAnsi="Cambria"/>
          <w:bCs/>
          <w:color w:val="080808"/>
        </w:rPr>
      </w:pPr>
    </w:p>
    <w:p w14:paraId="0A268E7E" w14:textId="7A620917" w:rsidR="005F2882" w:rsidRPr="005D77F5" w:rsidRDefault="005F2882" w:rsidP="005F2882">
      <w:pPr>
        <w:pStyle w:val="ListParagraph"/>
        <w:numPr>
          <w:ilvl w:val="0"/>
          <w:numId w:val="4"/>
        </w:numPr>
        <w:spacing w:after="0" w:line="240" w:lineRule="auto"/>
        <w:ind w:left="0" w:firstLine="720"/>
        <w:jc w:val="both"/>
        <w:rPr>
          <w:rFonts w:ascii="Cambria" w:eastAsia="Batang" w:hAnsi="Cambria"/>
          <w:bCs/>
          <w:color w:val="080808"/>
        </w:rPr>
      </w:pPr>
      <w:r w:rsidRPr="005D77F5">
        <w:rPr>
          <w:rFonts w:ascii="Cambria" w:eastAsia="Batang" w:hAnsi="Cambria"/>
          <w:bCs/>
          <w:color w:val="080808"/>
        </w:rPr>
        <w:t>The IACHR published the approval report on June 01, 2020.</w:t>
      </w:r>
    </w:p>
    <w:p w14:paraId="554FEE1F" w14:textId="77777777" w:rsidR="001541D4" w:rsidRPr="005D77F5"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5D77F5">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5D77F5" w:rsidRDefault="001541D4" w:rsidP="001541D4">
      <w:pPr>
        <w:spacing w:after="0" w:line="240" w:lineRule="auto"/>
        <w:ind w:left="709" w:right="4"/>
        <w:jc w:val="both"/>
        <w:rPr>
          <w:rFonts w:ascii="Cambria" w:eastAsia="MS Mincho" w:hAnsi="Cambria"/>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5D77F5"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5D77F5" w:rsidRDefault="003E6F57" w:rsidP="00F024F0">
            <w:pPr>
              <w:tabs>
                <w:tab w:val="center" w:pos="2049"/>
              </w:tabs>
              <w:spacing w:after="0" w:line="240" w:lineRule="auto"/>
              <w:jc w:val="center"/>
              <w:rPr>
                <w:rFonts w:ascii="Cambria" w:eastAsia="Batang" w:hAnsi="Cambria"/>
                <w:b/>
                <w:color w:val="000000"/>
              </w:rPr>
            </w:pPr>
            <w:r w:rsidRPr="005D77F5">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5D77F5" w:rsidRDefault="003E6F57" w:rsidP="00F024F0">
            <w:pPr>
              <w:spacing w:after="0" w:line="240" w:lineRule="auto"/>
              <w:jc w:val="center"/>
              <w:rPr>
                <w:rFonts w:ascii="Cambria" w:eastAsia="Batang" w:hAnsi="Cambria"/>
                <w:b/>
                <w:color w:val="000000"/>
              </w:rPr>
            </w:pPr>
            <w:r w:rsidRPr="005D77F5">
              <w:rPr>
                <w:rFonts w:ascii="Cambria" w:eastAsia="Batang" w:hAnsi="Cambria"/>
                <w:b/>
                <w:color w:val="000000"/>
              </w:rPr>
              <w:t xml:space="preserve">Status of Implementation </w:t>
            </w:r>
          </w:p>
        </w:tc>
      </w:tr>
      <w:tr w:rsidR="003E6F57" w:rsidRPr="005D77F5"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4A59CA9" w14:textId="77777777" w:rsidR="005F2882" w:rsidRPr="005D77F5" w:rsidRDefault="005F2882" w:rsidP="005F2882">
            <w:pPr>
              <w:spacing w:after="0" w:line="240" w:lineRule="auto"/>
              <w:jc w:val="both"/>
              <w:rPr>
                <w:rFonts w:ascii="Cambria" w:eastAsia="Batang" w:hAnsi="Cambria"/>
                <w:bCs/>
                <w:color w:val="080808"/>
              </w:rPr>
            </w:pPr>
            <w:r w:rsidRPr="005D77F5">
              <w:rPr>
                <w:rFonts w:ascii="Cambria" w:eastAsia="Batang" w:hAnsi="Cambria"/>
                <w:b/>
                <w:bCs/>
                <w:color w:val="080808"/>
              </w:rPr>
              <w:t>FIRST: ACKNOWLEDGMENT OF RESPONSIBILITY</w:t>
            </w:r>
            <w:r w:rsidRPr="005D77F5">
              <w:rPr>
                <w:rFonts w:ascii="Cambria" w:eastAsia="Batang" w:hAnsi="Cambria"/>
                <w:bCs/>
                <w:color w:val="080808"/>
              </w:rPr>
              <w:t xml:space="preserve"> </w:t>
            </w:r>
          </w:p>
          <w:p w14:paraId="1F6894E5" w14:textId="77777777" w:rsidR="005F2882" w:rsidRPr="005D77F5" w:rsidRDefault="005F2882" w:rsidP="005F2882">
            <w:pPr>
              <w:spacing w:after="0" w:line="240" w:lineRule="auto"/>
              <w:jc w:val="both"/>
              <w:rPr>
                <w:rFonts w:ascii="Cambria" w:eastAsia="Batang" w:hAnsi="Cambria"/>
                <w:bCs/>
                <w:color w:val="080808"/>
              </w:rPr>
            </w:pPr>
          </w:p>
          <w:p w14:paraId="30F40E5F" w14:textId="5077CFB8" w:rsidR="003E6F57" w:rsidRPr="005D77F5" w:rsidRDefault="005F2882" w:rsidP="005F2882">
            <w:pPr>
              <w:spacing w:after="0" w:line="240" w:lineRule="auto"/>
              <w:jc w:val="both"/>
              <w:rPr>
                <w:rFonts w:ascii="Cambria" w:eastAsia="MS Mincho" w:hAnsi="Cambria"/>
                <w:b/>
                <w:lang w:eastAsia="es-ES_tradnl"/>
              </w:rPr>
            </w:pPr>
            <w:r w:rsidRPr="005D77F5">
              <w:rPr>
                <w:rFonts w:ascii="Cambria" w:eastAsia="Batang" w:hAnsi="Cambria"/>
                <w:bCs/>
                <w:color w:val="080808"/>
              </w:rPr>
              <w:t>The Colombian State acknowledges, on behalf of the next of kin of Mr. Jorge Alberto Montes Gallego, its international responsibility for violating the rights to judicial guarantees and judicial protection recognized in Articles 8 and 25 of the American Convention on Human Rights, in conjunction with the general obligation established in Article 1.1 thereof.</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77777777" w:rsidR="003E6F57" w:rsidRPr="005D77F5" w:rsidRDefault="003E6F57" w:rsidP="00F024F0">
            <w:pPr>
              <w:spacing w:after="0" w:line="240" w:lineRule="auto"/>
              <w:jc w:val="center"/>
              <w:rPr>
                <w:rFonts w:ascii="Cambria" w:hAnsi="Cambria"/>
                <w:b/>
              </w:rPr>
            </w:pPr>
            <w:r w:rsidRPr="005D77F5">
              <w:rPr>
                <w:rFonts w:ascii="Cambria" w:eastAsia="Batang" w:hAnsi="Cambria"/>
                <w:b/>
                <w:color w:val="000000"/>
                <w:lang w:eastAsia="es-ES_tradnl"/>
              </w:rPr>
              <w:t xml:space="preserve">Declarative clause </w:t>
            </w:r>
          </w:p>
        </w:tc>
      </w:tr>
      <w:tr w:rsidR="005F2882" w:rsidRPr="005D77F5" w14:paraId="04E8AB7E" w14:textId="77777777" w:rsidTr="005F2882">
        <w:trPr>
          <w:trHeight w:val="288"/>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57E4F06F" w14:textId="7EA5F412" w:rsidR="005F2882" w:rsidRPr="005D77F5" w:rsidRDefault="005F2882" w:rsidP="005F2882">
            <w:pPr>
              <w:spacing w:after="0" w:line="240" w:lineRule="auto"/>
              <w:rPr>
                <w:rFonts w:ascii="Cambria" w:eastAsia="Batang" w:hAnsi="Cambria"/>
                <w:b/>
                <w:bCs/>
                <w:color w:val="000000"/>
                <w:lang w:eastAsia="es-ES_tradnl"/>
              </w:rPr>
            </w:pPr>
            <w:r w:rsidRPr="005D77F5">
              <w:rPr>
                <w:rFonts w:ascii="Cambria" w:eastAsia="Batang" w:hAnsi="Cambria"/>
                <w:b/>
                <w:bCs/>
                <w:color w:val="000000"/>
                <w:lang w:eastAsia="es-ES_tradnl"/>
              </w:rPr>
              <w:t>SECOND: MEASURES OF SATISFACTION</w:t>
            </w:r>
          </w:p>
        </w:tc>
      </w:tr>
      <w:tr w:rsidR="003E6F57" w:rsidRPr="005D77F5"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314322D5" w14:textId="77777777" w:rsidR="005F2882" w:rsidRPr="005D77F5" w:rsidRDefault="005F2882" w:rsidP="005F2882">
            <w:pPr>
              <w:spacing w:after="0" w:line="240" w:lineRule="auto"/>
              <w:jc w:val="both"/>
              <w:rPr>
                <w:rFonts w:ascii="Cambria" w:eastAsia="Batang" w:hAnsi="Cambria"/>
                <w:b/>
                <w:bCs/>
                <w:color w:val="080808"/>
                <w:lang w:bidi="en-US"/>
              </w:rPr>
            </w:pPr>
            <w:r w:rsidRPr="005F2882">
              <w:rPr>
                <w:rFonts w:ascii="Cambria" w:eastAsia="Batang" w:hAnsi="Cambria"/>
                <w:b/>
                <w:bCs/>
                <w:color w:val="080808"/>
                <w:lang w:bidi="en-US"/>
              </w:rPr>
              <w:t>Act of acknowledgment of responsibility.</w:t>
            </w:r>
          </w:p>
          <w:p w14:paraId="6A3CC5D3" w14:textId="77777777" w:rsidR="005F2882" w:rsidRPr="005F2882" w:rsidRDefault="005F2882" w:rsidP="005F2882">
            <w:pPr>
              <w:spacing w:after="0" w:line="240" w:lineRule="auto"/>
              <w:jc w:val="both"/>
              <w:rPr>
                <w:rFonts w:ascii="Cambria" w:eastAsia="Batang" w:hAnsi="Cambria"/>
                <w:bCs/>
                <w:color w:val="080808"/>
                <w:lang w:bidi="en-US"/>
              </w:rPr>
            </w:pPr>
          </w:p>
          <w:p w14:paraId="4DE29DF2" w14:textId="793874A3" w:rsidR="003E6F57" w:rsidRPr="005D77F5" w:rsidRDefault="005F2882" w:rsidP="005F2882">
            <w:pPr>
              <w:spacing w:after="0" w:line="240" w:lineRule="auto"/>
              <w:jc w:val="both"/>
              <w:rPr>
                <w:rFonts w:ascii="Cambria" w:hAnsi="Cambria"/>
                <w:bCs/>
                <w:color w:val="000000"/>
                <w:kern w:val="36"/>
              </w:rPr>
            </w:pPr>
            <w:r w:rsidRPr="005D77F5">
              <w:rPr>
                <w:rFonts w:ascii="Cambria" w:eastAsia="Batang" w:hAnsi="Cambria"/>
                <w:bCs/>
                <w:color w:val="080808"/>
              </w:rPr>
              <w:t>The State commits to conducting a private ceremony of Acknowledgment of Responsibility, during which it will deliver a letter of apology to the victim's family. The ceremony will be chaired by the Director General or the Director of the National Agency for International Legal Defense of the State and will be coordinated with the victims' representatives.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3CA7B140" w:rsidR="003E6F57" w:rsidRPr="005D77F5" w:rsidRDefault="005F2882" w:rsidP="00F024F0">
            <w:pPr>
              <w:spacing w:after="0" w:line="240" w:lineRule="auto"/>
              <w:jc w:val="center"/>
              <w:rPr>
                <w:rFonts w:ascii="Cambria" w:eastAsia="Batang" w:hAnsi="Cambria"/>
                <w:b/>
                <w:bCs/>
                <w:color w:val="000000"/>
              </w:rPr>
            </w:pPr>
            <w:r w:rsidRPr="005D77F5">
              <w:rPr>
                <w:rFonts w:ascii="Cambria" w:eastAsia="Batang" w:hAnsi="Cambria"/>
                <w:b/>
                <w:bCs/>
                <w:color w:val="000000"/>
                <w:lang w:eastAsia="es-ES_tradnl"/>
              </w:rPr>
              <w:t>Total</w:t>
            </w:r>
            <w:r w:rsidRPr="005D77F5">
              <w:rPr>
                <w:rStyle w:val="FootnoteReference"/>
                <w:rFonts w:ascii="Cambria" w:eastAsia="Batang" w:hAnsi="Cambria"/>
                <w:b/>
                <w:bCs/>
                <w:color w:val="000000"/>
                <w:lang w:eastAsia="es-ES_tradnl"/>
              </w:rPr>
              <w:footnoteReference w:id="1"/>
            </w:r>
            <w:r w:rsidR="003E6F57" w:rsidRPr="005D77F5">
              <w:rPr>
                <w:rFonts w:ascii="Cambria" w:eastAsia="Batang" w:hAnsi="Cambria"/>
                <w:b/>
                <w:bCs/>
                <w:color w:val="000000"/>
                <w:lang w:eastAsia="es-ES_tradnl"/>
              </w:rPr>
              <w:t xml:space="preserve"> </w:t>
            </w:r>
          </w:p>
        </w:tc>
      </w:tr>
      <w:tr w:rsidR="003E6F57" w:rsidRPr="005D77F5"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1505A915" w14:textId="77777777" w:rsidR="005F2882" w:rsidRPr="005D77F5" w:rsidRDefault="005F2882" w:rsidP="006F75AC">
            <w:pPr>
              <w:spacing w:after="0" w:line="240" w:lineRule="auto"/>
              <w:jc w:val="both"/>
              <w:rPr>
                <w:rFonts w:ascii="Cambria" w:eastAsia="Batang" w:hAnsi="Cambria"/>
                <w:b/>
                <w:color w:val="080808"/>
              </w:rPr>
            </w:pPr>
            <w:r w:rsidRPr="005D77F5">
              <w:rPr>
                <w:rFonts w:ascii="Cambria" w:eastAsia="Batang" w:hAnsi="Cambria"/>
                <w:b/>
                <w:color w:val="080808"/>
              </w:rPr>
              <w:t xml:space="preserve">Publication of the facts. </w:t>
            </w:r>
          </w:p>
          <w:p w14:paraId="114AB775" w14:textId="77777777" w:rsidR="005F2882" w:rsidRPr="005D77F5" w:rsidRDefault="005F2882" w:rsidP="006F75AC">
            <w:pPr>
              <w:spacing w:after="0" w:line="240" w:lineRule="auto"/>
              <w:jc w:val="both"/>
              <w:rPr>
                <w:rFonts w:ascii="Cambria" w:eastAsia="Batang" w:hAnsi="Cambria"/>
                <w:bCs/>
                <w:color w:val="080808"/>
              </w:rPr>
            </w:pPr>
          </w:p>
          <w:p w14:paraId="0E34A83C" w14:textId="1F293AFB" w:rsidR="003E6F57" w:rsidRPr="005D77F5" w:rsidRDefault="005F2882" w:rsidP="005F2882">
            <w:pPr>
              <w:spacing w:after="0" w:line="240" w:lineRule="auto"/>
              <w:jc w:val="both"/>
              <w:rPr>
                <w:rFonts w:ascii="Cambria" w:eastAsia="Times New Roman" w:hAnsi="Cambria"/>
                <w:bCs/>
              </w:rPr>
            </w:pPr>
            <w:r w:rsidRPr="005D77F5">
              <w:rPr>
                <w:rFonts w:ascii="Cambria" w:eastAsia="Batang" w:hAnsi="Cambria"/>
                <w:bCs/>
                <w:color w:val="080808"/>
              </w:rPr>
              <w:t>The Colombian State commits to posting the report approving the friendly settlement agreement, as instructed under American Convention on Human Rights, on the website of the National Agency for Legal Defense of the State, for six months.</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5D77F5" w:rsidRDefault="003E6F57" w:rsidP="00F024F0">
            <w:pPr>
              <w:spacing w:after="0" w:line="240" w:lineRule="auto"/>
              <w:jc w:val="center"/>
              <w:rPr>
                <w:rFonts w:ascii="Cambria" w:hAnsi="Cambria"/>
                <w:b/>
                <w:color w:val="000000"/>
              </w:rPr>
            </w:pPr>
            <w:r w:rsidRPr="005D77F5">
              <w:rPr>
                <w:rFonts w:ascii="Cambria" w:hAnsi="Cambria"/>
                <w:b/>
              </w:rPr>
              <w:t>Total</w:t>
            </w:r>
            <w:r w:rsidRPr="005D77F5">
              <w:rPr>
                <w:rFonts w:ascii="Cambria" w:eastAsia="MS Mincho" w:hAnsi="Cambria"/>
                <w:b/>
                <w:vertAlign w:val="superscript"/>
                <w:lang w:eastAsia="es-ES_tradnl"/>
              </w:rPr>
              <w:footnoteReference w:id="2"/>
            </w:r>
          </w:p>
        </w:tc>
      </w:tr>
      <w:tr w:rsidR="003E6F57" w:rsidRPr="005D77F5"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446E5A81" w14:textId="77777777" w:rsidR="005D77F5" w:rsidRPr="005D77F5" w:rsidRDefault="005D77F5" w:rsidP="006F75AC">
            <w:pPr>
              <w:spacing w:after="0" w:line="240" w:lineRule="auto"/>
              <w:jc w:val="both"/>
              <w:rPr>
                <w:rFonts w:ascii="Cambria" w:eastAsia="Batang" w:hAnsi="Cambria"/>
                <w:bCs/>
                <w:color w:val="080808"/>
              </w:rPr>
            </w:pPr>
            <w:r w:rsidRPr="005D77F5">
              <w:rPr>
                <w:rFonts w:ascii="Cambria" w:eastAsia="Batang" w:hAnsi="Cambria"/>
                <w:b/>
                <w:bCs/>
                <w:color w:val="080808"/>
              </w:rPr>
              <w:t>THIRD. FINANCIAL REPARATION</w:t>
            </w:r>
            <w:r w:rsidRPr="005D77F5">
              <w:rPr>
                <w:rFonts w:ascii="Cambria" w:eastAsia="Batang" w:hAnsi="Cambria"/>
                <w:bCs/>
                <w:color w:val="080808"/>
              </w:rPr>
              <w:t xml:space="preserve"> </w:t>
            </w:r>
          </w:p>
          <w:p w14:paraId="1816304B" w14:textId="77777777" w:rsidR="005D77F5" w:rsidRPr="005D77F5" w:rsidRDefault="005D77F5" w:rsidP="006F75AC">
            <w:pPr>
              <w:spacing w:after="0" w:line="240" w:lineRule="auto"/>
              <w:jc w:val="both"/>
              <w:rPr>
                <w:rFonts w:ascii="Cambria" w:eastAsia="Batang" w:hAnsi="Cambria"/>
                <w:bCs/>
                <w:color w:val="080808"/>
              </w:rPr>
            </w:pPr>
          </w:p>
          <w:p w14:paraId="7EC4F4AA" w14:textId="1FA91917" w:rsidR="003E6F57" w:rsidRPr="005D77F5" w:rsidRDefault="005D77F5" w:rsidP="005D77F5">
            <w:pPr>
              <w:spacing w:after="0" w:line="240" w:lineRule="auto"/>
              <w:jc w:val="both"/>
              <w:rPr>
                <w:rFonts w:ascii="Cambria" w:eastAsia="Times New Roman" w:hAnsi="Cambria"/>
                <w:bCs/>
              </w:rPr>
            </w:pPr>
            <w:r w:rsidRPr="005D77F5">
              <w:rPr>
                <w:rFonts w:ascii="Cambria" w:eastAsia="Batang" w:hAnsi="Cambria"/>
                <w:bCs/>
                <w:color w:val="080808"/>
              </w:rPr>
              <w:t>The State commits to applying Law 288 of 1996 once the present Friendly Settlement Agreement is approved by issuance of the report envisaged in Article 49 of the American Convention on Human Rights, its purpose being to provide reparation for such material and immaterial damages as may be proven in favor of the victims' relatives that have not received compensation in the administrative jurisdiction, or, if they have, discounting the amounts recognized for administrative reparation.</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77777777" w:rsidR="003E6F57" w:rsidRPr="005D77F5" w:rsidRDefault="003E6F57" w:rsidP="00F024F0">
            <w:pPr>
              <w:spacing w:after="0" w:line="240" w:lineRule="auto"/>
              <w:jc w:val="center"/>
              <w:rPr>
                <w:rFonts w:ascii="Cambria" w:hAnsi="Cambria"/>
                <w:b/>
                <w:color w:val="000000"/>
              </w:rPr>
            </w:pPr>
            <w:r w:rsidRPr="005D77F5">
              <w:rPr>
                <w:rFonts w:ascii="Cambria" w:eastAsia="Batang" w:hAnsi="Cambria"/>
                <w:b/>
                <w:color w:val="000000"/>
                <w:lang w:eastAsia="es-ES_tradnl"/>
              </w:rPr>
              <w:t>Total</w:t>
            </w:r>
            <w:r w:rsidRPr="005D77F5">
              <w:rPr>
                <w:rFonts w:ascii="Cambria" w:eastAsia="Batang" w:hAnsi="Cambria"/>
                <w:b/>
                <w:color w:val="000000"/>
                <w:vertAlign w:val="superscript"/>
                <w:lang w:eastAsia="es-ES_tradnl"/>
              </w:rPr>
              <w:footnoteReference w:id="3"/>
            </w:r>
          </w:p>
        </w:tc>
      </w:tr>
      <w:tr w:rsidR="005D77F5" w:rsidRPr="005D77F5" w14:paraId="2DB3C5C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2DC7A2E9" w14:textId="77777777" w:rsidR="005D77F5" w:rsidRPr="005D77F5" w:rsidRDefault="005D77F5" w:rsidP="006F75AC">
            <w:pPr>
              <w:spacing w:after="0" w:line="240" w:lineRule="auto"/>
              <w:jc w:val="both"/>
              <w:rPr>
                <w:rFonts w:ascii="Cambria" w:eastAsia="Batang" w:hAnsi="Cambria"/>
                <w:b/>
                <w:bCs/>
                <w:color w:val="080808"/>
              </w:rPr>
            </w:pPr>
            <w:r w:rsidRPr="005D77F5">
              <w:rPr>
                <w:rFonts w:ascii="Cambria" w:eastAsia="Batang" w:hAnsi="Cambria"/>
                <w:b/>
                <w:bCs/>
                <w:color w:val="080808"/>
              </w:rPr>
              <w:t>FOURTH: APPROVAL AND FOLLOW-UP</w:t>
            </w:r>
          </w:p>
          <w:p w14:paraId="348C1B73" w14:textId="77777777" w:rsidR="005D77F5" w:rsidRPr="005D77F5" w:rsidRDefault="005D77F5" w:rsidP="006F75AC">
            <w:pPr>
              <w:spacing w:after="0" w:line="240" w:lineRule="auto"/>
              <w:jc w:val="both"/>
              <w:rPr>
                <w:rFonts w:ascii="Cambria" w:eastAsia="Batang" w:hAnsi="Cambria"/>
                <w:b/>
                <w:bCs/>
                <w:color w:val="080808"/>
              </w:rPr>
            </w:pPr>
          </w:p>
          <w:p w14:paraId="480FE058" w14:textId="77777777" w:rsidR="005D77F5" w:rsidRPr="005D77F5" w:rsidRDefault="005D77F5" w:rsidP="005D77F5">
            <w:pPr>
              <w:spacing w:after="0" w:line="240" w:lineRule="auto"/>
              <w:jc w:val="both"/>
              <w:rPr>
                <w:rFonts w:ascii="Cambria" w:eastAsia="Batang" w:hAnsi="Cambria"/>
                <w:color w:val="080808"/>
                <w:lang w:bidi="en-US"/>
              </w:rPr>
            </w:pPr>
            <w:r w:rsidRPr="005D77F5">
              <w:rPr>
                <w:rFonts w:ascii="Cambria" w:eastAsia="Batang" w:hAnsi="Cambria"/>
                <w:color w:val="080808"/>
                <w:lang w:bidi="en-US"/>
              </w:rPr>
              <w:t>The parties request the Inter-American Commission on Human Rights to approve and follow up on this agreement.</w:t>
            </w:r>
          </w:p>
          <w:p w14:paraId="241E5D39" w14:textId="77777777" w:rsidR="005D77F5" w:rsidRPr="005D77F5" w:rsidRDefault="005D77F5" w:rsidP="005D77F5">
            <w:pPr>
              <w:spacing w:after="0" w:line="240" w:lineRule="auto"/>
              <w:jc w:val="both"/>
              <w:rPr>
                <w:rFonts w:ascii="Cambria" w:eastAsia="Batang" w:hAnsi="Cambria"/>
                <w:color w:val="080808"/>
                <w:lang w:bidi="en-US"/>
              </w:rPr>
            </w:pPr>
            <w:r w:rsidRPr="005D77F5">
              <w:rPr>
                <w:rFonts w:ascii="Cambria" w:eastAsia="Batang" w:hAnsi="Cambria"/>
                <w:color w:val="080808"/>
                <w:lang w:bidi="en-US"/>
              </w:rPr>
              <w:t>The beneficiaries of the present Friendly Settlement Agreement shall be the following persons: […]</w:t>
            </w:r>
          </w:p>
          <w:p w14:paraId="5C0899CB" w14:textId="3BEB1199" w:rsidR="005D77F5" w:rsidRPr="005D77F5" w:rsidRDefault="005D77F5" w:rsidP="005D77F5">
            <w:pPr>
              <w:spacing w:after="0" w:line="240" w:lineRule="auto"/>
              <w:jc w:val="both"/>
              <w:rPr>
                <w:rFonts w:ascii="Cambria" w:eastAsia="Batang" w:hAnsi="Cambria"/>
                <w:b/>
                <w:bCs/>
                <w:color w:val="080808"/>
              </w:rPr>
            </w:pPr>
            <w:r w:rsidRPr="005D77F5">
              <w:rPr>
                <w:rFonts w:ascii="Cambria" w:eastAsia="Batang" w:hAnsi="Cambria"/>
                <w:color w:val="080808"/>
              </w:rPr>
              <w:t xml:space="preserve">These persons shall be included in the implementation of the Friendly Settlement Agreement provided that they meet Colombian legal </w:t>
            </w:r>
            <w:r w:rsidRPr="005D77F5">
              <w:rPr>
                <w:rFonts w:ascii="Cambria" w:eastAsia="Batang" w:hAnsi="Cambria"/>
                <w:color w:val="080808"/>
              </w:rPr>
              <w:lastRenderedPageBreak/>
              <w:t>requirements for showing proof that they are entitled to be considered as such and of the harm done.</w:t>
            </w:r>
          </w:p>
        </w:tc>
        <w:tc>
          <w:tcPr>
            <w:tcW w:w="1985" w:type="dxa"/>
            <w:tcBorders>
              <w:top w:val="single" w:sz="4" w:space="0" w:color="auto"/>
              <w:left w:val="single" w:sz="4" w:space="0" w:color="auto"/>
              <w:bottom w:val="single" w:sz="4" w:space="0" w:color="auto"/>
              <w:right w:val="single" w:sz="4" w:space="0" w:color="auto"/>
            </w:tcBorders>
            <w:vAlign w:val="center"/>
          </w:tcPr>
          <w:p w14:paraId="5100FB41" w14:textId="2888A324" w:rsidR="005D77F5" w:rsidRPr="005D77F5" w:rsidRDefault="005D77F5" w:rsidP="00F024F0">
            <w:pPr>
              <w:spacing w:after="0" w:line="240" w:lineRule="auto"/>
              <w:jc w:val="center"/>
              <w:rPr>
                <w:rFonts w:ascii="Cambria" w:eastAsia="Batang" w:hAnsi="Cambria"/>
                <w:b/>
                <w:color w:val="000000"/>
                <w:lang w:eastAsia="es-ES_tradnl"/>
              </w:rPr>
            </w:pPr>
            <w:r w:rsidRPr="005D77F5">
              <w:rPr>
                <w:rFonts w:ascii="Cambria" w:eastAsia="Batang" w:hAnsi="Cambria"/>
                <w:b/>
                <w:color w:val="000000"/>
                <w:lang w:eastAsia="es-ES_tradnl"/>
              </w:rPr>
              <w:lastRenderedPageBreak/>
              <w:t>Declarative clause</w:t>
            </w:r>
          </w:p>
        </w:tc>
      </w:tr>
    </w:tbl>
    <w:p w14:paraId="76569D6D" w14:textId="77777777" w:rsidR="003E6F57" w:rsidRPr="005D77F5" w:rsidRDefault="003E6F57" w:rsidP="001541D4">
      <w:pPr>
        <w:spacing w:after="0" w:line="240" w:lineRule="auto"/>
        <w:ind w:left="709" w:right="4"/>
        <w:jc w:val="both"/>
        <w:rPr>
          <w:rFonts w:ascii="Cambria" w:eastAsia="MS Mincho" w:hAnsi="Cambria"/>
          <w:color w:val="000000"/>
        </w:rPr>
      </w:pPr>
    </w:p>
    <w:p w14:paraId="73E24492" w14:textId="77777777" w:rsidR="003E6F57" w:rsidRPr="005D77F5"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5D77F5">
        <w:rPr>
          <w:rFonts w:ascii="Cambria" w:eastAsia="Batang" w:hAnsi="Cambria" w:cs="Calibri Light"/>
          <w:b/>
          <w:color w:val="000000"/>
        </w:rPr>
        <w:t xml:space="preserve">LEVEL OF COMPLIANCE OF THE CASE </w:t>
      </w:r>
    </w:p>
    <w:p w14:paraId="4A6D9D7C" w14:textId="77777777" w:rsidR="003E6F57" w:rsidRPr="005D77F5"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rPr>
      </w:pPr>
    </w:p>
    <w:p w14:paraId="6A3F6F0B" w14:textId="265B0347" w:rsidR="003E6F57" w:rsidRPr="00172DE0" w:rsidRDefault="003E6F57" w:rsidP="00172DE0">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80808"/>
        </w:rPr>
      </w:pPr>
      <w:r w:rsidRPr="00172DE0">
        <w:rPr>
          <w:rFonts w:ascii="Cambria" w:hAnsi="Cambria"/>
          <w:color w:val="080808"/>
        </w:rPr>
        <w:t>The Commission declared full compliance with the case and the ceasing of the follow-up of the friendly settlement agreement in the 202</w:t>
      </w:r>
      <w:r w:rsidR="006F75AC" w:rsidRPr="00172DE0">
        <w:rPr>
          <w:rFonts w:ascii="Cambria" w:hAnsi="Cambria"/>
          <w:color w:val="080808"/>
        </w:rPr>
        <w:t>3</w:t>
      </w:r>
      <w:r w:rsidRPr="00172DE0">
        <w:rPr>
          <w:rFonts w:ascii="Cambria" w:hAnsi="Cambria"/>
          <w:color w:val="080808"/>
        </w:rPr>
        <w:t xml:space="preserve"> Annual Report.</w:t>
      </w:r>
    </w:p>
    <w:p w14:paraId="1E93E066" w14:textId="77777777" w:rsidR="003E6F57" w:rsidRPr="005D77F5" w:rsidRDefault="003E6F57" w:rsidP="003E6F57">
      <w:pPr>
        <w:pStyle w:val="ListParagraph"/>
        <w:autoSpaceDE w:val="0"/>
        <w:autoSpaceDN w:val="0"/>
        <w:adjustRightInd w:val="0"/>
        <w:spacing w:after="0" w:line="240" w:lineRule="auto"/>
        <w:ind w:left="0" w:firstLine="709"/>
        <w:jc w:val="both"/>
        <w:rPr>
          <w:rFonts w:ascii="Cambria" w:eastAsia="Batang" w:hAnsi="Cambria" w:cs="Calibri Light"/>
          <w:b/>
          <w:color w:val="080808"/>
        </w:rPr>
      </w:pPr>
    </w:p>
    <w:p w14:paraId="6DFFF31B" w14:textId="77777777" w:rsidR="003E6F57" w:rsidRPr="005D77F5" w:rsidRDefault="003E6F57" w:rsidP="00637AFB">
      <w:pPr>
        <w:pStyle w:val="ListParagraph"/>
        <w:numPr>
          <w:ilvl w:val="0"/>
          <w:numId w:val="37"/>
        </w:numPr>
        <w:spacing w:after="0" w:line="240" w:lineRule="auto"/>
        <w:jc w:val="both"/>
        <w:rPr>
          <w:rFonts w:ascii="Cambria" w:eastAsia="Batang" w:hAnsi="Cambria" w:cs="Calibri Light"/>
          <w:b/>
          <w:color w:val="000000"/>
        </w:rPr>
      </w:pPr>
      <w:r w:rsidRPr="005D77F5">
        <w:rPr>
          <w:rFonts w:ascii="Cambria" w:eastAsia="Batang" w:hAnsi="Cambria" w:cs="Calibri Light"/>
          <w:b/>
          <w:color w:val="000000"/>
        </w:rPr>
        <w:t xml:space="preserve">INDIVIDUAL AND STRUCTURAL OUTCOMES OF THE CASE </w:t>
      </w:r>
    </w:p>
    <w:p w14:paraId="0F1E3E7C" w14:textId="77777777" w:rsidR="003E6F57" w:rsidRPr="005D77F5" w:rsidRDefault="003E6F57" w:rsidP="003E6F57">
      <w:pPr>
        <w:spacing w:after="0" w:line="240" w:lineRule="auto"/>
        <w:ind w:firstLine="709"/>
        <w:contextualSpacing/>
        <w:jc w:val="both"/>
        <w:rPr>
          <w:rFonts w:ascii="Cambria" w:eastAsia="Batang" w:hAnsi="Cambria" w:cs="Calibri Light"/>
          <w:b/>
          <w:color w:val="000000"/>
        </w:rPr>
      </w:pPr>
    </w:p>
    <w:p w14:paraId="164FCF46" w14:textId="77777777" w:rsidR="003E6F57" w:rsidRPr="005D77F5" w:rsidRDefault="003E6F57" w:rsidP="00637AFB">
      <w:pPr>
        <w:numPr>
          <w:ilvl w:val="0"/>
          <w:numId w:val="38"/>
        </w:numPr>
        <w:spacing w:after="0" w:line="240" w:lineRule="auto"/>
        <w:ind w:left="1418" w:right="4" w:hanging="709"/>
        <w:contextualSpacing/>
        <w:jc w:val="both"/>
        <w:rPr>
          <w:rFonts w:ascii="Cambria" w:hAnsi="Cambria" w:cs="Calibri Light"/>
          <w:b/>
        </w:rPr>
      </w:pPr>
      <w:r w:rsidRPr="005D77F5">
        <w:rPr>
          <w:rFonts w:ascii="Cambria" w:hAnsi="Cambria" w:cs="Calibri Light"/>
          <w:b/>
        </w:rPr>
        <w:t>Individual outcomes of the case</w:t>
      </w:r>
    </w:p>
    <w:p w14:paraId="0ECF7B10" w14:textId="77777777" w:rsidR="003E6F57" w:rsidRPr="005D77F5" w:rsidRDefault="003E6F57" w:rsidP="003E6F57">
      <w:pPr>
        <w:spacing w:after="0" w:line="240" w:lineRule="auto"/>
        <w:ind w:left="1418" w:right="4" w:hanging="709"/>
        <w:contextualSpacing/>
        <w:jc w:val="both"/>
        <w:rPr>
          <w:rFonts w:ascii="Cambria" w:hAnsi="Cambria" w:cs="Calibri Light"/>
          <w:b/>
        </w:rPr>
      </w:pPr>
    </w:p>
    <w:p w14:paraId="3EE8317F" w14:textId="77777777" w:rsidR="005D77F5" w:rsidRPr="005D77F5" w:rsidRDefault="005D77F5" w:rsidP="005D77F5">
      <w:pPr>
        <w:numPr>
          <w:ilvl w:val="0"/>
          <w:numId w:val="6"/>
        </w:numPr>
        <w:spacing w:after="0" w:line="240" w:lineRule="auto"/>
        <w:ind w:left="1440" w:right="4" w:hanging="720"/>
        <w:contextualSpacing/>
        <w:jc w:val="both"/>
        <w:rPr>
          <w:rFonts w:ascii="Cambria" w:eastAsia="Batang" w:hAnsi="Cambria"/>
          <w:bCs/>
          <w:color w:val="080808"/>
        </w:rPr>
      </w:pPr>
      <w:r w:rsidRPr="005D77F5">
        <w:rPr>
          <w:rFonts w:ascii="Cambria" w:eastAsia="Batang" w:hAnsi="Cambria"/>
          <w:bCs/>
          <w:color w:val="080808"/>
        </w:rPr>
        <w:t xml:space="preserve">The State held the ceremony of acknowledgement of responsibility virtually in concert with the parties, and it was widely broadcasted over the social network accounts of the institutions of the State and the YouTube platform. </w:t>
      </w:r>
    </w:p>
    <w:p w14:paraId="6CBFA289" w14:textId="77777777" w:rsidR="005D77F5" w:rsidRPr="005D77F5" w:rsidRDefault="005D77F5" w:rsidP="005D77F5">
      <w:pPr>
        <w:numPr>
          <w:ilvl w:val="0"/>
          <w:numId w:val="6"/>
        </w:numPr>
        <w:spacing w:after="0" w:line="240" w:lineRule="auto"/>
        <w:ind w:left="1440" w:right="4" w:hanging="720"/>
        <w:contextualSpacing/>
        <w:jc w:val="both"/>
        <w:rPr>
          <w:rFonts w:ascii="Cambria" w:eastAsia="Batang" w:hAnsi="Cambria"/>
          <w:bCs/>
          <w:color w:val="080808"/>
        </w:rPr>
      </w:pPr>
      <w:r w:rsidRPr="005D77F5">
        <w:rPr>
          <w:rFonts w:ascii="Cambria" w:eastAsia="Batang" w:hAnsi="Cambria"/>
          <w:bCs/>
          <w:color w:val="080808"/>
        </w:rPr>
        <w:t>In the framework of the procedure established in Law 288/96, the State made the compensation payment to the beneficiaries of the friendly settlement agreement, through Resolution No. 539 of March 13, 2023, for a total amount of $1,448,237,768.81 pesos.</w:t>
      </w:r>
    </w:p>
    <w:p w14:paraId="3CC7E559" w14:textId="77777777" w:rsidR="006F75AC" w:rsidRPr="005D77F5" w:rsidRDefault="006F75AC" w:rsidP="006F75AC">
      <w:pPr>
        <w:spacing w:after="0" w:line="240" w:lineRule="auto"/>
        <w:ind w:left="1418" w:right="4"/>
        <w:contextualSpacing/>
        <w:jc w:val="both"/>
        <w:rPr>
          <w:rFonts w:ascii="Cambria" w:eastAsia="Batang" w:hAnsi="Cambria"/>
          <w:color w:val="000000"/>
        </w:rPr>
      </w:pPr>
    </w:p>
    <w:p w14:paraId="599C3DC9" w14:textId="77777777" w:rsidR="003E6F57" w:rsidRPr="005D77F5" w:rsidRDefault="003E6F57" w:rsidP="00637AFB">
      <w:pPr>
        <w:numPr>
          <w:ilvl w:val="0"/>
          <w:numId w:val="38"/>
        </w:numPr>
        <w:spacing w:after="0" w:line="240" w:lineRule="auto"/>
        <w:ind w:left="1418" w:right="4" w:hanging="709"/>
        <w:jc w:val="both"/>
        <w:rPr>
          <w:rFonts w:ascii="Cambria" w:eastAsia="MS Mincho" w:hAnsi="Cambria"/>
          <w:b/>
          <w:lang w:eastAsia="es-ES_tradnl"/>
        </w:rPr>
      </w:pPr>
      <w:r w:rsidRPr="005D77F5">
        <w:rPr>
          <w:rFonts w:ascii="Cambria" w:eastAsia="MS Mincho" w:hAnsi="Cambria"/>
          <w:b/>
          <w:lang w:eastAsia="es-ES_tradnl"/>
        </w:rPr>
        <w:t>Structural outcomes of the case</w:t>
      </w:r>
    </w:p>
    <w:p w14:paraId="59FB2C1F" w14:textId="77777777" w:rsidR="003E6F57" w:rsidRPr="005D77F5" w:rsidRDefault="003E6F57" w:rsidP="003E6F57">
      <w:pPr>
        <w:spacing w:after="0" w:line="240" w:lineRule="auto"/>
        <w:ind w:left="1418" w:right="4" w:hanging="709"/>
        <w:jc w:val="both"/>
        <w:rPr>
          <w:rFonts w:ascii="Cambria" w:eastAsia="MS Mincho" w:hAnsi="Cambria"/>
          <w:lang w:eastAsia="es-ES_tradnl"/>
        </w:rPr>
      </w:pPr>
    </w:p>
    <w:p w14:paraId="348955C8" w14:textId="7F916D86" w:rsidR="003E6F57" w:rsidRPr="005D77F5" w:rsidRDefault="005D77F5" w:rsidP="00C33D8F">
      <w:pPr>
        <w:numPr>
          <w:ilvl w:val="0"/>
          <w:numId w:val="36"/>
        </w:numPr>
        <w:tabs>
          <w:tab w:val="left" w:pos="0"/>
        </w:tabs>
        <w:spacing w:after="0" w:line="240" w:lineRule="auto"/>
        <w:ind w:left="1418" w:right="4" w:hanging="709"/>
        <w:contextualSpacing/>
        <w:jc w:val="both"/>
        <w:rPr>
          <w:rFonts w:ascii="Cambria" w:eastAsia="MS Mincho" w:hAnsi="Cambria"/>
          <w:color w:val="000000"/>
        </w:rPr>
      </w:pPr>
      <w:r w:rsidRPr="005D77F5">
        <w:rPr>
          <w:rFonts w:ascii="Cambria" w:eastAsia="Batang" w:hAnsi="Cambria"/>
          <w:bCs/>
          <w:color w:val="080808"/>
        </w:rPr>
        <w:t>The State published the Article 49 report on the web page of the National Legal Defense Agency of the State.</w:t>
      </w:r>
    </w:p>
    <w:sectPr w:rsidR="003E6F57" w:rsidRPr="005D77F5" w:rsidSect="00172DE0">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F7D0" w14:textId="77777777" w:rsidR="00462B02" w:rsidRDefault="00462B02" w:rsidP="00A343FF">
      <w:pPr>
        <w:spacing w:after="0" w:line="240" w:lineRule="auto"/>
      </w:pPr>
      <w:r>
        <w:separator/>
      </w:r>
    </w:p>
  </w:endnote>
  <w:endnote w:type="continuationSeparator" w:id="0">
    <w:p w14:paraId="6B304379" w14:textId="77777777" w:rsidR="00462B02" w:rsidRDefault="00462B02"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CC1F8B"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3A34" w14:textId="77777777" w:rsidR="00462B02" w:rsidRDefault="00462B02" w:rsidP="00A343FF">
      <w:pPr>
        <w:spacing w:after="0" w:line="240" w:lineRule="auto"/>
      </w:pPr>
      <w:r>
        <w:separator/>
      </w:r>
    </w:p>
  </w:footnote>
  <w:footnote w:type="continuationSeparator" w:id="0">
    <w:p w14:paraId="51A0FCCA" w14:textId="77777777" w:rsidR="00462B02" w:rsidRDefault="00462B02" w:rsidP="00A343FF">
      <w:pPr>
        <w:spacing w:after="0" w:line="240" w:lineRule="auto"/>
      </w:pPr>
      <w:r>
        <w:continuationSeparator/>
      </w:r>
    </w:p>
  </w:footnote>
  <w:footnote w:id="1">
    <w:p w14:paraId="0847C37D" w14:textId="56AF4572" w:rsidR="005F2882" w:rsidRPr="005D77F5" w:rsidRDefault="005F2882" w:rsidP="005F2882">
      <w:pPr>
        <w:pStyle w:val="FootnoteText"/>
        <w:ind w:firstLine="720"/>
        <w:jc w:val="both"/>
        <w:rPr>
          <w:rFonts w:ascii="Cambria" w:hAnsi="Cambria"/>
          <w:sz w:val="16"/>
          <w:szCs w:val="16"/>
        </w:rPr>
      </w:pPr>
      <w:r w:rsidRPr="005F2882">
        <w:rPr>
          <w:rStyle w:val="FootnoteReference"/>
          <w:rFonts w:ascii="Cambria" w:hAnsi="Cambria"/>
          <w:sz w:val="16"/>
          <w:szCs w:val="16"/>
        </w:rPr>
        <w:footnoteRef/>
      </w:r>
      <w:r w:rsidRPr="005F2882">
        <w:rPr>
          <w:rFonts w:ascii="Cambria" w:hAnsi="Cambria"/>
          <w:sz w:val="16"/>
          <w:szCs w:val="16"/>
        </w:rPr>
        <w:t xml:space="preserve"> </w:t>
      </w:r>
      <w:r w:rsidR="005D77F5">
        <w:rPr>
          <w:rFonts w:ascii="Cambria" w:hAnsi="Cambria"/>
          <w:sz w:val="16"/>
          <w:szCs w:val="16"/>
        </w:rPr>
        <w:t>I</w:t>
      </w:r>
      <w:r w:rsidR="005D77F5" w:rsidRPr="005D77F5">
        <w:rPr>
          <w:rFonts w:ascii="Cambria" w:hAnsi="Cambria"/>
          <w:sz w:val="16"/>
          <w:szCs w:val="16"/>
        </w:rPr>
        <w:t xml:space="preserve">ACHR, </w:t>
      </w:r>
      <w:r w:rsidR="005D77F5" w:rsidRPr="005D77F5">
        <w:rPr>
          <w:rFonts w:ascii="Cambria" w:hAnsi="Cambria"/>
          <w:i/>
          <w:sz w:val="16"/>
          <w:szCs w:val="16"/>
        </w:rPr>
        <w:t>Annual Report 2021</w:t>
      </w:r>
      <w:r w:rsidR="005D77F5" w:rsidRPr="005D77F5">
        <w:rPr>
          <w:rFonts w:ascii="Cambria" w:hAnsi="Cambria"/>
          <w:sz w:val="16"/>
          <w:szCs w:val="16"/>
        </w:rPr>
        <w:t xml:space="preserve">, Chapter II, Section F. Negotiation and Implementation of Friendly Settlement Agreements. Available at </w:t>
      </w:r>
      <w:hyperlink r:id="rId1" w:history="1">
        <w:r w:rsidR="005D77F5" w:rsidRPr="005D77F5">
          <w:rPr>
            <w:rStyle w:val="Hyperlink"/>
            <w:rFonts w:ascii="Cambria" w:hAnsi="Cambria"/>
            <w:sz w:val="16"/>
            <w:szCs w:val="16"/>
          </w:rPr>
          <w:t>https://www.oas.org/en/iachr/docs/annual/2021/Chapters/IA2021cap2-en.pdf</w:t>
        </w:r>
      </w:hyperlink>
      <w:r w:rsidR="005D77F5" w:rsidRPr="005D77F5">
        <w:rPr>
          <w:rFonts w:ascii="Cambria" w:hAnsi="Cambria"/>
          <w:sz w:val="16"/>
          <w:szCs w:val="16"/>
        </w:rPr>
        <w:t>.</w:t>
      </w:r>
    </w:p>
  </w:footnote>
  <w:footnote w:id="2">
    <w:p w14:paraId="5E55D9F7" w14:textId="1B632169" w:rsidR="003E6F57" w:rsidRPr="005F2882" w:rsidRDefault="003E6F57" w:rsidP="005F2882">
      <w:pPr>
        <w:pStyle w:val="FootnoteText"/>
        <w:ind w:firstLine="720"/>
        <w:jc w:val="both"/>
        <w:rPr>
          <w:rFonts w:ascii="Cambria" w:hAnsi="Cambria"/>
          <w:color w:val="000000" w:themeColor="text1"/>
          <w:sz w:val="16"/>
          <w:szCs w:val="16"/>
        </w:rPr>
      </w:pPr>
      <w:r w:rsidRPr="005F2882">
        <w:rPr>
          <w:rFonts w:ascii="Cambria" w:hAnsi="Cambria"/>
          <w:color w:val="000000"/>
          <w:sz w:val="16"/>
          <w:szCs w:val="16"/>
          <w:vertAlign w:val="superscript"/>
        </w:rPr>
        <w:footnoteRef/>
      </w:r>
      <w:r w:rsidRPr="005F2882">
        <w:rPr>
          <w:rFonts w:ascii="Cambria" w:hAnsi="Cambria"/>
          <w:color w:val="000000"/>
          <w:sz w:val="16"/>
          <w:szCs w:val="16"/>
        </w:rPr>
        <w:t xml:space="preserve"> </w:t>
      </w:r>
      <w:r w:rsidR="005D77F5">
        <w:rPr>
          <w:rFonts w:ascii="Cambria" w:hAnsi="Cambria"/>
          <w:sz w:val="16"/>
          <w:szCs w:val="16"/>
        </w:rPr>
        <w:t>I</w:t>
      </w:r>
      <w:r w:rsidR="005D77F5" w:rsidRPr="005D77F5">
        <w:rPr>
          <w:rFonts w:ascii="Cambria" w:hAnsi="Cambria"/>
          <w:sz w:val="16"/>
          <w:szCs w:val="16"/>
        </w:rPr>
        <w:t xml:space="preserve">ACHR, </w:t>
      </w:r>
      <w:r w:rsidR="005D77F5" w:rsidRPr="005D77F5">
        <w:rPr>
          <w:rFonts w:ascii="Cambria" w:hAnsi="Cambria"/>
          <w:i/>
          <w:sz w:val="16"/>
          <w:szCs w:val="16"/>
        </w:rPr>
        <w:t>Annual Report 2021</w:t>
      </w:r>
      <w:r w:rsidR="005D77F5" w:rsidRPr="005D77F5">
        <w:rPr>
          <w:rFonts w:ascii="Cambria" w:hAnsi="Cambria"/>
          <w:sz w:val="16"/>
          <w:szCs w:val="16"/>
        </w:rPr>
        <w:t xml:space="preserve">, Chapter II, Section F. Negotiation and Implementation of Friendly Settlement Agreements. Available at </w:t>
      </w:r>
      <w:hyperlink r:id="rId2" w:history="1">
        <w:r w:rsidR="005D77F5" w:rsidRPr="005D77F5">
          <w:rPr>
            <w:rStyle w:val="Hyperlink"/>
            <w:rFonts w:ascii="Cambria" w:hAnsi="Cambria"/>
            <w:sz w:val="16"/>
            <w:szCs w:val="16"/>
          </w:rPr>
          <w:t>https://www.oas.org/en/iachr/docs/annual/2021/Chapters/IA2021cap2-en.pdf</w:t>
        </w:r>
      </w:hyperlink>
      <w:r w:rsidRPr="005F2882">
        <w:rPr>
          <w:rFonts w:ascii="Cambria" w:hAnsi="Cambria"/>
          <w:color w:val="000000" w:themeColor="text1"/>
          <w:sz w:val="16"/>
          <w:szCs w:val="16"/>
        </w:rPr>
        <w:t>.</w:t>
      </w:r>
    </w:p>
  </w:footnote>
  <w:footnote w:id="3">
    <w:p w14:paraId="1E97D377" w14:textId="21DF45E4" w:rsidR="003E6F57" w:rsidRPr="007175E2" w:rsidRDefault="003E6F57" w:rsidP="005F2882">
      <w:pPr>
        <w:pStyle w:val="FootnoteText"/>
        <w:ind w:firstLine="720"/>
        <w:jc w:val="both"/>
        <w:rPr>
          <w:rFonts w:ascii="Cambria" w:hAnsi="Cambria"/>
          <w:sz w:val="16"/>
          <w:szCs w:val="16"/>
        </w:rPr>
      </w:pPr>
      <w:r w:rsidRPr="005F2882">
        <w:rPr>
          <w:rStyle w:val="FootnoteReference"/>
          <w:rFonts w:ascii="Cambria" w:hAnsi="Cambria"/>
          <w:color w:val="000000" w:themeColor="text1"/>
          <w:sz w:val="16"/>
          <w:szCs w:val="16"/>
        </w:rPr>
        <w:footnoteRef/>
      </w:r>
      <w:r w:rsidRPr="005F2882">
        <w:rPr>
          <w:rFonts w:ascii="Cambria" w:hAnsi="Cambria"/>
          <w:color w:val="000000" w:themeColor="text1"/>
          <w:sz w:val="16"/>
          <w:szCs w:val="16"/>
        </w:rPr>
        <w:t xml:space="preserve"> </w:t>
      </w:r>
      <w:r w:rsidR="005D77F5" w:rsidRPr="005D77F5">
        <w:rPr>
          <w:rFonts w:ascii="Cambria" w:hAnsi="Cambria"/>
          <w:sz w:val="16"/>
          <w:szCs w:val="16"/>
        </w:rPr>
        <w:t xml:space="preserve">IACHR, </w:t>
      </w:r>
      <w:r w:rsidR="005D77F5" w:rsidRPr="005D77F5">
        <w:rPr>
          <w:rFonts w:ascii="Cambria" w:hAnsi="Cambria"/>
          <w:i/>
          <w:sz w:val="16"/>
          <w:szCs w:val="16"/>
        </w:rPr>
        <w:t>Annual Report 202</w:t>
      </w:r>
      <w:r w:rsidR="005D77F5">
        <w:rPr>
          <w:rFonts w:ascii="Cambria" w:hAnsi="Cambria"/>
          <w:i/>
          <w:sz w:val="16"/>
          <w:szCs w:val="16"/>
        </w:rPr>
        <w:t>3</w:t>
      </w:r>
      <w:r w:rsidR="005D77F5" w:rsidRPr="005D77F5">
        <w:rPr>
          <w:rFonts w:ascii="Cambria" w:hAnsi="Cambria"/>
          <w:sz w:val="16"/>
          <w:szCs w:val="16"/>
        </w:rPr>
        <w:t xml:space="preserve">, Chapter II, Section </w:t>
      </w:r>
      <w:r w:rsidR="00190C9E" w:rsidRPr="00B741BC">
        <w:rPr>
          <w:rFonts w:ascii="Cambria" w:hAnsi="Cambria"/>
          <w:sz w:val="16"/>
          <w:szCs w:val="16"/>
        </w:rPr>
        <w:t xml:space="preserve">C. Advances and challenges on negotiation and implementation of friendly settlement agreement. Available at </w:t>
      </w:r>
      <w:hyperlink r:id="rId3" w:history="1">
        <w:r w:rsidR="00190C9E" w:rsidRPr="00B741BC">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CC1F8B">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CC1F8B"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99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A94185"/>
    <w:multiLevelType w:val="hybridMultilevel"/>
    <w:tmpl w:val="324C0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5"/>
  </w:num>
  <w:num w:numId="9" w16cid:durableId="1086881292">
    <w:abstractNumId w:val="7"/>
  </w:num>
  <w:num w:numId="10" w16cid:durableId="1292322756">
    <w:abstractNumId w:val="12"/>
  </w:num>
  <w:num w:numId="11" w16cid:durableId="1000500350">
    <w:abstractNumId w:val="2"/>
  </w:num>
  <w:num w:numId="12" w16cid:durableId="1706103099">
    <w:abstractNumId w:val="34"/>
  </w:num>
  <w:num w:numId="13" w16cid:durableId="1756710271">
    <w:abstractNumId w:val="20"/>
  </w:num>
  <w:num w:numId="14" w16cid:durableId="1099252676">
    <w:abstractNumId w:val="38"/>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6"/>
  </w:num>
  <w:num w:numId="29" w16cid:durableId="2142572164">
    <w:abstractNumId w:val="33"/>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9"/>
  </w:num>
  <w:num w:numId="36" w16cid:durableId="1664964272">
    <w:abstractNumId w:val="37"/>
  </w:num>
  <w:num w:numId="37" w16cid:durableId="2074966919">
    <w:abstractNumId w:val="32"/>
  </w:num>
  <w:num w:numId="38" w16cid:durableId="20934263">
    <w:abstractNumId w:val="22"/>
  </w:num>
  <w:num w:numId="39" w16cid:durableId="195656616">
    <w:abstractNumId w:val="24"/>
  </w:num>
  <w:num w:numId="40" w16cid:durableId="112967080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72DE0"/>
    <w:rsid w:val="001834F6"/>
    <w:rsid w:val="00190C9E"/>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076B"/>
    <w:rsid w:val="002D40CD"/>
    <w:rsid w:val="002E4FBC"/>
    <w:rsid w:val="002F156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3F74F2"/>
    <w:rsid w:val="00402700"/>
    <w:rsid w:val="00417964"/>
    <w:rsid w:val="00420BB1"/>
    <w:rsid w:val="0043583A"/>
    <w:rsid w:val="004545D1"/>
    <w:rsid w:val="00457BAB"/>
    <w:rsid w:val="00462B02"/>
    <w:rsid w:val="00470C7B"/>
    <w:rsid w:val="0047146A"/>
    <w:rsid w:val="004722BC"/>
    <w:rsid w:val="00472E04"/>
    <w:rsid w:val="0047567D"/>
    <w:rsid w:val="00477BF2"/>
    <w:rsid w:val="004B3074"/>
    <w:rsid w:val="004B7CA6"/>
    <w:rsid w:val="004C6CCF"/>
    <w:rsid w:val="004C7C99"/>
    <w:rsid w:val="004D71CB"/>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414D"/>
    <w:rsid w:val="005D77F5"/>
    <w:rsid w:val="005D7F05"/>
    <w:rsid w:val="005E3720"/>
    <w:rsid w:val="005E4B03"/>
    <w:rsid w:val="005F171A"/>
    <w:rsid w:val="005F2882"/>
    <w:rsid w:val="005F4AAA"/>
    <w:rsid w:val="0060081A"/>
    <w:rsid w:val="00604132"/>
    <w:rsid w:val="00634F89"/>
    <w:rsid w:val="00637AFB"/>
    <w:rsid w:val="0065135B"/>
    <w:rsid w:val="00655003"/>
    <w:rsid w:val="00660EF3"/>
    <w:rsid w:val="00663A76"/>
    <w:rsid w:val="0067152B"/>
    <w:rsid w:val="00672090"/>
    <w:rsid w:val="006B3219"/>
    <w:rsid w:val="006C2941"/>
    <w:rsid w:val="006C2B06"/>
    <w:rsid w:val="006C7308"/>
    <w:rsid w:val="006E2BD8"/>
    <w:rsid w:val="006E445E"/>
    <w:rsid w:val="006F0429"/>
    <w:rsid w:val="006F75AC"/>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9F7352"/>
    <w:rsid w:val="00A2502C"/>
    <w:rsid w:val="00A25CA7"/>
    <w:rsid w:val="00A343FF"/>
    <w:rsid w:val="00A61B5E"/>
    <w:rsid w:val="00A678C3"/>
    <w:rsid w:val="00A70B4A"/>
    <w:rsid w:val="00A76705"/>
    <w:rsid w:val="00A7781B"/>
    <w:rsid w:val="00A860C7"/>
    <w:rsid w:val="00AA164D"/>
    <w:rsid w:val="00AB0F8C"/>
    <w:rsid w:val="00AB253B"/>
    <w:rsid w:val="00AB5B6F"/>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92669"/>
    <w:rsid w:val="00CB6344"/>
    <w:rsid w:val="00CB7CD5"/>
    <w:rsid w:val="00CB7D17"/>
    <w:rsid w:val="00CC0731"/>
    <w:rsid w:val="00CC1F8B"/>
    <w:rsid w:val="00CC6DB2"/>
    <w:rsid w:val="00CD169F"/>
    <w:rsid w:val="00CE024B"/>
    <w:rsid w:val="00CE74B7"/>
    <w:rsid w:val="00CF54E1"/>
    <w:rsid w:val="00D048B2"/>
    <w:rsid w:val="00D05BCC"/>
    <w:rsid w:val="00D23C64"/>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20/cosa595-09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0/cosa595-09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ocs/annual/2021/Chapters/IA2021cap2-en.pdf" TargetMode="External"/><Relationship Id="rId1" Type="http://schemas.openxmlformats.org/officeDocument/2006/relationships/hyperlink" Target="https://www.oas.org/en/iachr/docs/annual/2021/Chapters/IA2021cap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5.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